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1C" w:rsidRDefault="00EA4364">
      <w:pPr>
        <w:spacing w:after="0" w:line="240" w:lineRule="auto"/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-10795</wp:posOffset>
            </wp:positionV>
            <wp:extent cx="2848610" cy="564515"/>
            <wp:effectExtent l="0" t="0" r="0" b="0"/>
            <wp:wrapTight wrapText="bothSides" distL="114935" distR="114935">
              <wp:wrapPolygon edited="0">
                <wp:start x="1876" y="0"/>
                <wp:lineTo x="359" y="2560"/>
                <wp:lineTo x="-2" y="3658"/>
                <wp:lineTo x="-70" y="6219"/>
                <wp:lineTo x="-70" y="9515"/>
                <wp:lineTo x="-2" y="11713"/>
                <wp:lineTo x="1443" y="17570"/>
                <wp:lineTo x="1298" y="18669"/>
                <wp:lineTo x="1298" y="20131"/>
                <wp:lineTo x="1804" y="21230"/>
                <wp:lineTo x="2310" y="21230"/>
                <wp:lineTo x="7150" y="21230"/>
                <wp:lineTo x="21600" y="18669"/>
                <wp:lineTo x="21600" y="15373"/>
                <wp:lineTo x="21454" y="14642"/>
                <wp:lineTo x="20153" y="11713"/>
                <wp:lineTo x="20731" y="10978"/>
                <wp:lineTo x="20876" y="8049"/>
                <wp:lineTo x="20731" y="5121"/>
                <wp:lineTo x="11629" y="2560"/>
                <wp:lineTo x="2310" y="0"/>
                <wp:lineTo x="1876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l="-8" t="-38" r="-8" b="-38"/>
                    <a:stretch/>
                  </pic:blipFill>
                  <pic:spPr>
                    <a:xfrm>
                      <a:off x="0" y="0"/>
                      <a:ext cx="284861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181C" w:rsidRDefault="00C8181C">
      <w:pPr>
        <w:spacing w:after="0" w:line="240" w:lineRule="auto"/>
      </w:pPr>
    </w:p>
    <w:p w:rsidR="00C8181C" w:rsidRDefault="00C8181C">
      <w:pPr>
        <w:spacing w:after="0" w:line="240" w:lineRule="auto"/>
      </w:pPr>
    </w:p>
    <w:p w:rsidR="00C8181C" w:rsidRDefault="00EA4364">
      <w:pPr>
        <w:spacing w:after="0" w:line="240" w:lineRule="auto"/>
      </w:pPr>
      <w:r>
        <w:t xml:space="preserve">                                                                                                                                  </w:t>
      </w:r>
    </w:p>
    <w:p w:rsidR="00C8181C" w:rsidRDefault="00C8181C">
      <w:pPr>
        <w:spacing w:after="0" w:line="240" w:lineRule="auto"/>
      </w:pPr>
    </w:p>
    <w:p w:rsidR="00C8181C" w:rsidRDefault="00C8181C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C8181C" w:rsidRDefault="00C8181C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8181C" w:rsidRDefault="00EA4364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Региональный Роскадастр информирует граждан о назначении и порядке проведения комплексных кадастровых </w:t>
      </w:r>
      <w:r>
        <w:rPr>
          <w:rFonts w:ascii="Times New Roman" w:hAnsi="Times New Roman"/>
          <w:b/>
          <w:sz w:val="28"/>
        </w:rPr>
        <w:t>работ</w:t>
      </w:r>
    </w:p>
    <w:p w:rsidR="00C8181C" w:rsidRDefault="00C8181C">
      <w:pPr>
        <w:spacing w:after="120" w:line="240" w:lineRule="auto"/>
        <w:rPr>
          <w:rFonts w:ascii="Times New Roman" w:hAnsi="Times New Roman"/>
          <w:b/>
          <w:sz w:val="28"/>
        </w:rPr>
      </w:pPr>
    </w:p>
    <w:p w:rsidR="00C8181C" w:rsidRDefault="00EA436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6"/>
          <w:sz w:val="28"/>
        </w:rPr>
      </w:pPr>
      <w:r>
        <w:rPr>
          <w:rFonts w:ascii="Times New Roman" w:hAnsi="Times New Roman"/>
          <w:b/>
          <w:spacing w:val="6"/>
          <w:sz w:val="28"/>
        </w:rPr>
        <w:t xml:space="preserve">Комплексные кадастровые работы (ККР) обеспечивают достоверность и точность сведений Единого государственного реестра недвижимости (ЕГРН) о границах земельных участков. Эксперты </w:t>
      </w:r>
      <w:hyperlink r:id="rId8" w:history="1">
        <w:r>
          <w:rPr>
            <w:rStyle w:val="af0"/>
            <w:rFonts w:ascii="Times New Roman" w:hAnsi="Times New Roman"/>
            <w:b/>
            <w:spacing w:val="6"/>
            <w:sz w:val="28"/>
          </w:rPr>
          <w:t>филиала ППК «Р</w:t>
        </w:r>
        <w:r>
          <w:rPr>
            <w:rStyle w:val="af0"/>
            <w:rFonts w:ascii="Times New Roman" w:hAnsi="Times New Roman"/>
            <w:b/>
            <w:spacing w:val="6"/>
            <w:sz w:val="28"/>
          </w:rPr>
          <w:t>оскадастр»</w:t>
        </w:r>
      </w:hyperlink>
      <w:r>
        <w:rPr>
          <w:rFonts w:ascii="Times New Roman" w:hAnsi="Times New Roman"/>
          <w:b/>
          <w:spacing w:val="6"/>
          <w:sz w:val="28"/>
        </w:rPr>
        <w:t xml:space="preserve"> по Краснодарскому краю и </w:t>
      </w:r>
      <w:r>
        <w:rPr>
          <w:rFonts w:ascii="Times New Roman" w:hAnsi="Times New Roman"/>
          <w:b/>
          <w:sz w:val="28"/>
        </w:rPr>
        <w:t>Управления Росреестра по Краснодарскому краю</w:t>
      </w:r>
      <w:r>
        <w:rPr>
          <w:rFonts w:ascii="Times New Roman" w:hAnsi="Times New Roman"/>
          <w:b/>
          <w:spacing w:val="6"/>
          <w:sz w:val="28"/>
        </w:rPr>
        <w:t xml:space="preserve"> рассказали о назначении и порядке проведения ККР.</w:t>
      </w:r>
    </w:p>
    <w:p w:rsidR="00C8181C" w:rsidRDefault="00EA4364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>Комплексные кадастровые работы проводятся для определения границ всех земельных участков и объектов недвижимости в предела</w:t>
      </w:r>
      <w:r>
        <w:rPr>
          <w:rFonts w:ascii="Times New Roman" w:hAnsi="Times New Roman"/>
          <w:spacing w:val="6"/>
          <w:sz w:val="28"/>
        </w:rPr>
        <w:t>х одного или нескольких кадастровых кварталов. ККР – процесс, который направлен на:</w:t>
      </w:r>
    </w:p>
    <w:p w:rsidR="00C8181C" w:rsidRDefault="00EA43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>выявление неучтенной недвижимости;</w:t>
      </w:r>
    </w:p>
    <w:p w:rsidR="00C8181C" w:rsidRDefault="00EA43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>уточнение границ земельных участков;</w:t>
      </w:r>
    </w:p>
    <w:p w:rsidR="00C8181C" w:rsidRDefault="00EA43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 xml:space="preserve">повышение точности данных Единого государственного реестра недвижимости (ЕГРН). </w:t>
      </w:r>
    </w:p>
    <w:p w:rsidR="00C8181C" w:rsidRDefault="00EA43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«Благодаря ККР сокр</w:t>
      </w:r>
      <w:r>
        <w:rPr>
          <w:rFonts w:ascii="Times New Roman" w:hAnsi="Times New Roman"/>
          <w:i/>
          <w:sz w:val="28"/>
        </w:rPr>
        <w:t>ащается количество земельных споров. Комплексные кадастровые работы позволяют исправить имеющиеся ошибки в Едином</w:t>
      </w:r>
      <w:r>
        <w:rPr>
          <w:rFonts w:ascii="Times New Roman" w:hAnsi="Times New Roman"/>
          <w:i/>
          <w:sz w:val="28"/>
        </w:rPr>
        <w:t xml:space="preserve"> государственном реестре недвижимости (</w:t>
      </w:r>
      <w:r>
        <w:rPr>
          <w:rFonts w:ascii="Times New Roman" w:hAnsi="Times New Roman"/>
          <w:i/>
          <w:sz w:val="28"/>
        </w:rPr>
        <w:t>ЕГРН</w:t>
      </w:r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i/>
          <w:sz w:val="28"/>
        </w:rPr>
        <w:t>, а также снижают вероятность возникновения новых реестровых ошибок. Это достигается за счет однов</w:t>
      </w:r>
      <w:r>
        <w:rPr>
          <w:rFonts w:ascii="Times New Roman" w:hAnsi="Times New Roman"/>
          <w:i/>
          <w:sz w:val="28"/>
        </w:rPr>
        <w:t>ременного уточнения границ всех участков и объектов недвижимости в пределах одного или нескольких кадастровых кварталов</w:t>
      </w:r>
      <w:r>
        <w:rPr>
          <w:rFonts w:ascii="Times New Roman" w:hAnsi="Times New Roman"/>
          <w:i/>
          <w:sz w:val="28"/>
        </w:rPr>
        <w:t>»,</w:t>
      </w:r>
      <w:r>
        <w:rPr>
          <w:rFonts w:ascii="Times New Roman" w:hAnsi="Times New Roman"/>
          <w:sz w:val="28"/>
        </w:rPr>
        <w:t xml:space="preserve"> – подчеркивает заместитель директора-главный технолог филиала ППК «Роскадастр» по Краснодарскому краю </w:t>
      </w:r>
      <w:r>
        <w:rPr>
          <w:rFonts w:ascii="Times New Roman" w:hAnsi="Times New Roman"/>
          <w:b/>
          <w:sz w:val="28"/>
        </w:rPr>
        <w:t>Андрей Власенко</w:t>
      </w:r>
      <w:r>
        <w:rPr>
          <w:rFonts w:ascii="Times New Roman" w:hAnsi="Times New Roman"/>
          <w:sz w:val="28"/>
        </w:rPr>
        <w:t>.</w:t>
      </w:r>
    </w:p>
    <w:p w:rsidR="00C8181C" w:rsidRDefault="00EA4364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 xml:space="preserve">Согласно </w:t>
      </w:r>
      <w:r>
        <w:rPr>
          <w:rFonts w:ascii="Times New Roman" w:hAnsi="Times New Roman"/>
          <w:spacing w:val="6"/>
          <w:sz w:val="28"/>
        </w:rPr>
        <w:t xml:space="preserve">Федеральному закону от 24.07.2007 № </w:t>
      </w:r>
      <w:hyperlink r:id="rId9" w:history="1">
        <w:r>
          <w:rPr>
            <w:rStyle w:val="af0"/>
            <w:rFonts w:ascii="Times New Roman" w:hAnsi="Times New Roman"/>
            <w:spacing w:val="6"/>
            <w:sz w:val="28"/>
          </w:rPr>
          <w:t>221-ФЗ</w:t>
        </w:r>
      </w:hyperlink>
      <w:r>
        <w:rPr>
          <w:rFonts w:ascii="Times New Roman" w:hAnsi="Times New Roman"/>
          <w:spacing w:val="6"/>
          <w:sz w:val="28"/>
        </w:rPr>
        <w:t xml:space="preserve">  при выполнении ККР осуществляется:</w:t>
      </w:r>
    </w:p>
    <w:p w:rsidR="00C8181C" w:rsidRDefault="00EA436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>разработка проекта карты-плана территории;</w:t>
      </w:r>
    </w:p>
    <w:p w:rsidR="00C8181C" w:rsidRDefault="00EA436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 xml:space="preserve">согласование </w:t>
      </w:r>
      <w:r>
        <w:rPr>
          <w:rFonts w:ascii="Times New Roman" w:hAnsi="Times New Roman"/>
          <w:spacing w:val="6"/>
          <w:sz w:val="28"/>
        </w:rPr>
        <w:t>местоположения границ земельных участков путем проведения заседаний согласительной комиссии по этому вопросу;</w:t>
      </w:r>
    </w:p>
    <w:p w:rsidR="00C8181C" w:rsidRDefault="00EA436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>утверждение карты-плана территории органом, уполномоченным на утверждение карты-плана территории;</w:t>
      </w:r>
    </w:p>
    <w:p w:rsidR="00C8181C" w:rsidRDefault="00EA436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>представление карты-планы территории в орган рег</w:t>
      </w:r>
      <w:r>
        <w:rPr>
          <w:rFonts w:ascii="Times New Roman" w:hAnsi="Times New Roman"/>
          <w:spacing w:val="6"/>
          <w:sz w:val="28"/>
        </w:rPr>
        <w:t>истрации прав.</w:t>
      </w:r>
    </w:p>
    <w:p w:rsidR="00C8181C" w:rsidRDefault="00EA4364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 xml:space="preserve">Обращаем внимание, что ознакомиться с актуальными сроками проведения </w:t>
      </w:r>
      <w:r>
        <w:rPr>
          <w:rFonts w:ascii="Times New Roman" w:hAnsi="Times New Roman"/>
          <w:spacing w:val="6"/>
          <w:sz w:val="28"/>
        </w:rPr>
        <w:t>ф</w:t>
      </w:r>
      <w:r>
        <w:rPr>
          <w:rFonts w:ascii="Times New Roman" w:hAnsi="Times New Roman"/>
          <w:spacing w:val="6"/>
          <w:sz w:val="28"/>
        </w:rPr>
        <w:t>илиалом ККР федерального значения можно на официальном сайте ППК «Роскадастр» в</w:t>
      </w:r>
      <w:hyperlink r:id="rId10" w:history="1">
        <w:r>
          <w:rPr>
            <w:rStyle w:val="af0"/>
            <w:rFonts w:ascii="Times New Roman" w:hAnsi="Times New Roman"/>
            <w:spacing w:val="6"/>
            <w:sz w:val="28"/>
          </w:rPr>
          <w:t xml:space="preserve"> разделе</w:t>
        </w:r>
      </w:hyperlink>
      <w:r>
        <w:rPr>
          <w:rFonts w:ascii="Times New Roman" w:hAnsi="Times New Roman"/>
          <w:spacing w:val="6"/>
          <w:sz w:val="28"/>
        </w:rPr>
        <w:t xml:space="preserve"> «Банк докум</w:t>
      </w:r>
      <w:r>
        <w:rPr>
          <w:rFonts w:ascii="Times New Roman" w:hAnsi="Times New Roman"/>
          <w:spacing w:val="6"/>
          <w:sz w:val="28"/>
        </w:rPr>
        <w:t xml:space="preserve">ентов». </w:t>
      </w:r>
    </w:p>
    <w:p w:rsidR="00C8181C" w:rsidRDefault="00EA4364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</w:rPr>
      </w:pPr>
      <w:r>
        <w:rPr>
          <w:rFonts w:ascii="Times New Roman" w:hAnsi="Times New Roman"/>
          <w:spacing w:val="6"/>
          <w:sz w:val="28"/>
        </w:rPr>
        <w:t xml:space="preserve">Результаты ККР передаются в орган регистрации прав </w:t>
      </w:r>
      <w:r>
        <w:rPr>
          <w:rFonts w:ascii="Times New Roman" w:hAnsi="Times New Roman"/>
          <w:b/>
          <w:spacing w:val="6"/>
          <w:sz w:val="28"/>
        </w:rPr>
        <w:t>не позднее трёх рабочих дней</w:t>
      </w:r>
      <w:r>
        <w:rPr>
          <w:rFonts w:ascii="Times New Roman" w:hAnsi="Times New Roman"/>
          <w:spacing w:val="6"/>
          <w:sz w:val="28"/>
        </w:rPr>
        <w:t xml:space="preserve"> со дня утверждения карты-плана территории.</w:t>
      </w:r>
    </w:p>
    <w:p w:rsidR="00C8181C" w:rsidRDefault="00EA436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6"/>
          <w:sz w:val="28"/>
        </w:rPr>
      </w:pPr>
      <w:r>
        <w:rPr>
          <w:rFonts w:ascii="Times New Roman" w:hAnsi="Times New Roman"/>
          <w:i/>
          <w:spacing w:val="6"/>
          <w:sz w:val="28"/>
        </w:rPr>
        <w:lastRenderedPageBreak/>
        <w:t xml:space="preserve">«Проведение комплексных кадастровых работ происходит за счет государственных средств, поэтому гражданам не нужно платить за </w:t>
      </w:r>
      <w:r>
        <w:rPr>
          <w:rFonts w:ascii="Times New Roman" w:hAnsi="Times New Roman"/>
          <w:i/>
          <w:spacing w:val="6"/>
          <w:sz w:val="28"/>
        </w:rPr>
        <w:t xml:space="preserve">межевание своего земельного участка. Также гражданам не нужно обращаться в </w:t>
      </w:r>
      <w:proofErr w:type="spellStart"/>
      <w:r>
        <w:rPr>
          <w:rFonts w:ascii="Times New Roman" w:hAnsi="Times New Roman"/>
          <w:i/>
          <w:spacing w:val="6"/>
          <w:sz w:val="28"/>
        </w:rPr>
        <w:t>Росреестр</w:t>
      </w:r>
      <w:proofErr w:type="spellEnd"/>
      <w:r>
        <w:rPr>
          <w:rFonts w:ascii="Times New Roman" w:hAnsi="Times New Roman"/>
          <w:i/>
          <w:spacing w:val="6"/>
          <w:sz w:val="28"/>
        </w:rPr>
        <w:t xml:space="preserve"> для внесения новых сведений в ЕГРН,</w:t>
      </w:r>
      <w:r>
        <w:rPr>
          <w:rFonts w:ascii="Times New Roman" w:hAnsi="Times New Roman"/>
          <w:spacing w:val="6"/>
          <w:sz w:val="28"/>
        </w:rPr>
        <w:t xml:space="preserve"> – пояснил заместитель руководителя Управления Росреестра по Краснодарскому краю </w:t>
      </w:r>
      <w:r>
        <w:rPr>
          <w:rFonts w:ascii="Times New Roman" w:hAnsi="Times New Roman"/>
          <w:b/>
          <w:spacing w:val="6"/>
          <w:sz w:val="28"/>
        </w:rPr>
        <w:t xml:space="preserve">Дмитрий </w:t>
      </w:r>
      <w:proofErr w:type="spellStart"/>
      <w:r>
        <w:rPr>
          <w:rFonts w:ascii="Times New Roman" w:hAnsi="Times New Roman"/>
          <w:b/>
          <w:spacing w:val="6"/>
          <w:sz w:val="28"/>
        </w:rPr>
        <w:t>Чернобровенко</w:t>
      </w:r>
      <w:proofErr w:type="spellEnd"/>
      <w:r>
        <w:rPr>
          <w:rFonts w:ascii="Times New Roman" w:hAnsi="Times New Roman"/>
          <w:spacing w:val="6"/>
          <w:sz w:val="28"/>
        </w:rPr>
        <w:t xml:space="preserve">. – </w:t>
      </w:r>
      <w:r>
        <w:rPr>
          <w:rFonts w:ascii="Times New Roman" w:hAnsi="Times New Roman"/>
          <w:i/>
          <w:spacing w:val="6"/>
          <w:sz w:val="28"/>
        </w:rPr>
        <w:t>Заказчик кадастровых работ дол</w:t>
      </w:r>
      <w:r>
        <w:rPr>
          <w:rFonts w:ascii="Times New Roman" w:hAnsi="Times New Roman"/>
          <w:i/>
          <w:spacing w:val="6"/>
          <w:sz w:val="28"/>
        </w:rPr>
        <w:t xml:space="preserve">жен разместить извещение о начале выполнения ККР и направить его в </w:t>
      </w:r>
      <w:proofErr w:type="spellStart"/>
      <w:r>
        <w:rPr>
          <w:rFonts w:ascii="Times New Roman" w:hAnsi="Times New Roman"/>
          <w:i/>
          <w:spacing w:val="6"/>
          <w:sz w:val="28"/>
        </w:rPr>
        <w:t>Росреестр</w:t>
      </w:r>
      <w:proofErr w:type="spellEnd"/>
      <w:r>
        <w:rPr>
          <w:rFonts w:ascii="Times New Roman" w:hAnsi="Times New Roman"/>
          <w:i/>
          <w:spacing w:val="6"/>
          <w:sz w:val="28"/>
        </w:rPr>
        <w:t>.</w:t>
      </w:r>
    </w:p>
    <w:p w:rsidR="00C8181C" w:rsidRDefault="00EA436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6"/>
          <w:sz w:val="28"/>
        </w:rPr>
      </w:pPr>
      <w:r>
        <w:rPr>
          <w:rFonts w:ascii="Times New Roman" w:hAnsi="Times New Roman"/>
          <w:i/>
          <w:spacing w:val="6"/>
          <w:sz w:val="28"/>
        </w:rPr>
        <w:t xml:space="preserve">ККР являются важным мероприятием, непосредственно влияющим на достижение национальной цели развития Российской Федерации в рамках государственной программы «Национальная система </w:t>
      </w:r>
      <w:r>
        <w:rPr>
          <w:rFonts w:ascii="Times New Roman" w:hAnsi="Times New Roman"/>
          <w:i/>
          <w:spacing w:val="6"/>
          <w:sz w:val="28"/>
        </w:rPr>
        <w:t>пространственных данных».</w:t>
      </w:r>
    </w:p>
    <w:p w:rsidR="00C8181C" w:rsidRDefault="00EA43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6"/>
          <w:sz w:val="28"/>
        </w:rPr>
        <w:t>Узна</w:t>
      </w:r>
      <w:bookmarkStart w:id="0" w:name="_GoBack"/>
      <w:bookmarkEnd w:id="0"/>
      <w:r>
        <w:rPr>
          <w:rFonts w:ascii="Times New Roman" w:hAnsi="Times New Roman"/>
          <w:spacing w:val="6"/>
          <w:sz w:val="28"/>
        </w:rPr>
        <w:t xml:space="preserve">ть полную информацию о правилах проведения комплексных кадастровых работ можно, обратившись к главе 4.1 Федерального закона от 24.07.2007 № </w:t>
      </w:r>
      <w:hyperlink r:id="rId11" w:history="1">
        <w:r>
          <w:rPr>
            <w:rStyle w:val="af0"/>
            <w:rFonts w:ascii="Times New Roman" w:hAnsi="Times New Roman"/>
            <w:spacing w:val="6"/>
            <w:sz w:val="28"/>
          </w:rPr>
          <w:t>221-ФЗ</w:t>
        </w:r>
      </w:hyperlink>
      <w:r>
        <w:rPr>
          <w:rFonts w:ascii="Times New Roman" w:hAnsi="Times New Roman"/>
          <w:spacing w:val="6"/>
          <w:sz w:val="28"/>
        </w:rPr>
        <w:t xml:space="preserve">. </w:t>
      </w:r>
    </w:p>
    <w:p w:rsidR="00C8181C" w:rsidRDefault="00EA43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Получить консультацию и заключить договор на предоставление ККР возможно дистанционно на официальном сайте ППК «Роскадастр» </w:t>
      </w:r>
      <w:hyperlink r:id="rId12" w:history="1">
        <w:r>
          <w:rPr>
            <w:rStyle w:val="af0"/>
            <w:rFonts w:ascii="Times New Roman" w:hAnsi="Times New Roman"/>
            <w:sz w:val="28"/>
          </w:rPr>
          <w:t>в разделе</w:t>
        </w:r>
      </w:hyperlink>
      <w:r>
        <w:rPr>
          <w:rFonts w:ascii="Times New Roman" w:hAnsi="Times New Roman"/>
          <w:sz w:val="28"/>
        </w:rPr>
        <w:t xml:space="preserve"> «Сервисы и услуги». </w:t>
      </w:r>
    </w:p>
    <w:p w:rsidR="00C8181C" w:rsidRDefault="00EA436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Напоминаем, что актуальную информацию о платных услугах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илиала</w:t>
      </w:r>
      <w:r>
        <w:rPr>
          <w:rFonts w:ascii="Times New Roman" w:hAnsi="Times New Roman"/>
          <w:sz w:val="28"/>
        </w:rPr>
        <w:t xml:space="preserve"> ППК «Роскадастр» по Краснодарскому краю </w:t>
      </w:r>
      <w:r>
        <w:rPr>
          <w:rFonts w:ascii="Times New Roman" w:hAnsi="Times New Roman"/>
          <w:sz w:val="28"/>
        </w:rPr>
        <w:t xml:space="preserve"> возможно узнать по 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 краевого Роскадастра: </w:t>
      </w:r>
      <w:hyperlink r:id="rId13" w:history="1">
        <w:r>
          <w:rPr>
            <w:rStyle w:val="af0"/>
            <w:rFonts w:ascii="Times New Roman" w:hAnsi="Times New Roman"/>
            <w:sz w:val="28"/>
          </w:rPr>
          <w:t>uslugi-pay@23.kadastr.ru</w:t>
        </w:r>
      </w:hyperlink>
      <w:r>
        <w:rPr>
          <w:rFonts w:ascii="Times New Roman" w:hAnsi="Times New Roman"/>
          <w:sz w:val="28"/>
        </w:rPr>
        <w:t>.</w:t>
      </w:r>
    </w:p>
    <w:p w:rsidR="00C8181C" w:rsidRDefault="00EA4364">
      <w:pPr>
        <w:spacing w:after="0" w:line="240" w:lineRule="auto"/>
        <w:contextualSpacing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</w:t>
      </w:r>
      <w:r>
        <w:rPr>
          <w:rFonts w:ascii="Segoe UI" w:hAnsi="Segoe UI"/>
          <w:sz w:val="24"/>
        </w:rPr>
        <w:t>_______________________________________________________________</w:t>
      </w:r>
    </w:p>
    <w:p w:rsidR="00C8181C" w:rsidRDefault="00EA4364">
      <w:pPr>
        <w:spacing w:after="0" w:line="240" w:lineRule="auto"/>
        <w:jc w:val="both"/>
      </w:pPr>
      <w:r>
        <w:rPr>
          <w:rFonts w:ascii="Segoe UI" w:hAnsi="Segoe UI"/>
          <w:sz w:val="24"/>
        </w:rPr>
        <w:t>Пресс-служба филиала ППК «Роскадастр»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C8181C">
        <w:trPr>
          <w:jc w:val="center"/>
        </w:trPr>
        <w:tc>
          <w:tcPr>
            <w:tcW w:w="775" w:type="dxa"/>
            <w:shd w:val="clear" w:color="auto" w:fill="auto"/>
          </w:tcPr>
          <w:p w:rsidR="00C8181C" w:rsidRDefault="00EA4364">
            <w:pPr>
              <w:spacing w:after="0" w:line="240" w:lineRule="auto"/>
              <w:contextualSpacing/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>
                  <wp:extent cx="361315" cy="361188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/>
                          <a:srcRect l="-175" t="-177" r="-175" b="-177"/>
                          <a:stretch/>
                        </pic:blipFill>
                        <pic:spPr>
                          <a:xfrm>
                            <a:off x="0" y="0"/>
                            <a:ext cx="361315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shd w:val="clear" w:color="auto" w:fill="auto"/>
            <w:vAlign w:val="center"/>
          </w:tcPr>
          <w:p w:rsidR="00C8181C" w:rsidRDefault="00EA4364">
            <w:pPr>
              <w:spacing w:after="0" w:line="240" w:lineRule="auto"/>
              <w:contextualSpacing/>
            </w:pPr>
            <w:hyperlink r:id="rId15" w:history="1">
              <w:r>
                <w:rPr>
                  <w:rStyle w:val="af0"/>
                  <w:rFonts w:ascii="Segoe UI" w:hAnsi="Segoe UI"/>
                </w:rPr>
                <w:t>press23@23.kadastr.ru</w:t>
              </w:r>
            </w:hyperlink>
          </w:p>
        </w:tc>
        <w:tc>
          <w:tcPr>
            <w:tcW w:w="956" w:type="dxa"/>
            <w:shd w:val="clear" w:color="auto" w:fill="auto"/>
          </w:tcPr>
          <w:p w:rsidR="00C8181C" w:rsidRDefault="00EA4364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51282" cy="351282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6"/>
                          <a:srcRect l="-179" t="-179" r="-179" b="-179"/>
                          <a:stretch/>
                        </pic:blipFill>
                        <pic:spPr>
                          <a:xfrm>
                            <a:off x="0" y="0"/>
                            <a:ext cx="351282" cy="35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181C" w:rsidRDefault="00EA4364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C8181C">
        <w:trPr>
          <w:jc w:val="center"/>
        </w:trPr>
        <w:tc>
          <w:tcPr>
            <w:tcW w:w="775" w:type="dxa"/>
            <w:shd w:val="clear" w:color="auto" w:fill="auto"/>
          </w:tcPr>
          <w:p w:rsidR="00C8181C" w:rsidRDefault="00EA4364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345" cy="344170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7"/>
                          <a:srcRect l="-46" t="-46" r="-46" b="-46"/>
                          <a:stretch/>
                        </pic:blipFill>
                        <pic:spPr>
                          <a:xfrm>
                            <a:off x="0" y="0"/>
                            <a:ext cx="34734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shd w:val="clear" w:color="auto" w:fill="auto"/>
            <w:vAlign w:val="center"/>
          </w:tcPr>
          <w:p w:rsidR="00C8181C" w:rsidRDefault="00EA4364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  <w:shd w:val="clear" w:color="auto" w:fill="auto"/>
          </w:tcPr>
          <w:p w:rsidR="00C8181C" w:rsidRDefault="00EA4364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61315" cy="36131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8"/>
                          <a:srcRect l="-175" t="-175" r="-175" b="-175"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181C" w:rsidRDefault="00EA4364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C8181C" w:rsidRDefault="00C8181C">
      <w:pPr>
        <w:rPr>
          <w:sz w:val="2"/>
        </w:rPr>
      </w:pPr>
    </w:p>
    <w:p w:rsidR="00C8181C" w:rsidRDefault="00C8181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C8181C" w:rsidRDefault="00C8181C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C8181C" w:rsidRDefault="00C818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C8181C" w:rsidRDefault="00C818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C8181C" w:rsidRDefault="00C818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C8181C" w:rsidRDefault="00C8181C">
      <w:pPr>
        <w:spacing w:after="0" w:line="360" w:lineRule="auto"/>
        <w:jc w:val="both"/>
      </w:pPr>
    </w:p>
    <w:sectPr w:rsidR="00C8181C">
      <w:footerReference w:type="default" r:id="rId19"/>
      <w:footerReference w:type="first" r:id="rId20"/>
      <w:pgSz w:w="11906" w:h="16838"/>
      <w:pgMar w:top="1134" w:right="567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4364">
      <w:pPr>
        <w:spacing w:after="0" w:line="240" w:lineRule="auto"/>
      </w:pPr>
      <w:r>
        <w:separator/>
      </w:r>
    </w:p>
  </w:endnote>
  <w:endnote w:type="continuationSeparator" w:id="0">
    <w:p w:rsidR="00000000" w:rsidRDefault="00EA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1C" w:rsidRDefault="00EA436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C8181C" w:rsidRDefault="00EA4364">
    <w:pP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hAnsi="Times New Roman"/>
        <w:sz w:val="20"/>
      </w:rPr>
      <w:t>press23@23.kadastr.ru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1C" w:rsidRDefault="00C818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4364">
      <w:pPr>
        <w:spacing w:after="0" w:line="240" w:lineRule="auto"/>
      </w:pPr>
      <w:r>
        <w:separator/>
      </w:r>
    </w:p>
  </w:footnote>
  <w:footnote w:type="continuationSeparator" w:id="0">
    <w:p w:rsidR="00000000" w:rsidRDefault="00EA4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1821"/>
    <w:multiLevelType w:val="multilevel"/>
    <w:tmpl w:val="E1EA59A2"/>
    <w:lvl w:ilvl="0">
      <w:numFmt w:val="bullet"/>
      <w:lvlText w:val="•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6E904E81"/>
    <w:multiLevelType w:val="multilevel"/>
    <w:tmpl w:val="C1380294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1C"/>
    <w:rsid w:val="00C8181C"/>
    <w:rsid w:val="00EA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CFAA"/>
  <w15:docId w15:val="{24DD9AE3-4CC2-4EDF-A304-3296C535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Calibri" w:hAnsi="Calibri"/>
      <w:b/>
      <w:sz w:val="22"/>
    </w:rPr>
  </w:style>
  <w:style w:type="paragraph" w:customStyle="1" w:styleId="12">
    <w:name w:val="Указатель1"/>
    <w:basedOn w:val="a"/>
    <w:link w:val="13"/>
    <w:rPr>
      <w:rFonts w:ascii="PT Astra Serif" w:hAnsi="PT Astra Serif"/>
    </w:rPr>
  </w:style>
  <w:style w:type="character" w:customStyle="1" w:styleId="13">
    <w:name w:val="Указатель1"/>
    <w:basedOn w:val="1"/>
    <w:link w:val="12"/>
    <w:rPr>
      <w:rFonts w:ascii="PT Astra Serif" w:hAnsi="PT Astra Serif"/>
      <w:sz w:val="22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styleId="a9">
    <w:name w:val="Body Text"/>
    <w:basedOn w:val="a"/>
    <w:link w:val="aa"/>
    <w:pPr>
      <w:spacing w:after="140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sz w:val="22"/>
    </w:rPr>
  </w:style>
  <w:style w:type="paragraph" w:customStyle="1" w:styleId="ab">
    <w:name w:val="Неразрешенное упоминание"/>
    <w:link w:val="ac"/>
    <w:rPr>
      <w:color w:val="605E5C"/>
      <w:shd w:val="clear" w:color="auto" w:fill="E1DFDD"/>
    </w:rPr>
  </w:style>
  <w:style w:type="character" w:customStyle="1" w:styleId="ac">
    <w:name w:val="Неразрешенное упоминание"/>
    <w:link w:val="ab"/>
    <w:rPr>
      <w:color w:val="605E5C"/>
      <w:shd w:val="clear" w:color="auto" w:fill="E1DFDD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5">
    <w:name w:val="Номер строки1"/>
    <w:link w:val="ad"/>
  </w:style>
  <w:style w:type="character" w:styleId="ad">
    <w:name w:val="line number"/>
    <w:link w:val="15"/>
  </w:style>
  <w:style w:type="paragraph" w:customStyle="1" w:styleId="ae">
    <w:name w:val="Текст выноски Знак"/>
    <w:link w:val="af"/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1">
    <w:name w:val="List"/>
    <w:basedOn w:val="a9"/>
    <w:link w:val="af2"/>
    <w:rPr>
      <w:rFonts w:ascii="PT Astra Serif" w:hAnsi="PT Astra Serif"/>
    </w:rPr>
  </w:style>
  <w:style w:type="character" w:customStyle="1" w:styleId="af2">
    <w:name w:val="Список Знак"/>
    <w:basedOn w:val="aa"/>
    <w:link w:val="af1"/>
    <w:rPr>
      <w:rFonts w:ascii="PT Astra Serif" w:hAnsi="PT Astra Serif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3">
    <w:name w:val="Колонтитул"/>
    <w:basedOn w:val="a"/>
    <w:link w:val="af4"/>
    <w:pPr>
      <w:tabs>
        <w:tab w:val="center" w:pos="4819"/>
        <w:tab w:val="right" w:pos="9638"/>
      </w:tabs>
    </w:pPr>
  </w:style>
  <w:style w:type="character" w:customStyle="1" w:styleId="af4">
    <w:name w:val="Колонтитул"/>
    <w:basedOn w:val="1"/>
    <w:link w:val="af3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styleId="af5">
    <w:name w:val="footer"/>
    <w:basedOn w:val="af3"/>
    <w:link w:val="af6"/>
  </w:style>
  <w:style w:type="character" w:customStyle="1" w:styleId="af6">
    <w:name w:val="Нижний колонтитул Знак"/>
    <w:basedOn w:val="af4"/>
    <w:link w:val="af5"/>
    <w:rPr>
      <w:rFonts w:ascii="Calibri" w:hAnsi="Calibri"/>
      <w:sz w:val="22"/>
    </w:rPr>
  </w:style>
  <w:style w:type="paragraph" w:customStyle="1" w:styleId="1b">
    <w:name w:val="Просмотренная гиперссылка1"/>
    <w:link w:val="af7"/>
    <w:rPr>
      <w:color w:val="800080"/>
      <w:u w:val="single"/>
    </w:rPr>
  </w:style>
  <w:style w:type="character" w:styleId="af7">
    <w:name w:val="FollowedHyperlink"/>
    <w:link w:val="1b"/>
    <w:rPr>
      <w:color w:val="800080"/>
      <w:u w:val="single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f8">
    <w:name w:val="Balloon Text"/>
    <w:basedOn w:val="a"/>
    <w:link w:val="1c"/>
    <w:pPr>
      <w:spacing w:after="0" w:line="240" w:lineRule="auto"/>
    </w:pPr>
    <w:rPr>
      <w:rFonts w:ascii="Tahoma" w:hAnsi="Tahoma"/>
      <w:sz w:val="16"/>
    </w:rPr>
  </w:style>
  <w:style w:type="character" w:customStyle="1" w:styleId="1c">
    <w:name w:val="Текст выноски Знак1"/>
    <w:basedOn w:val="1"/>
    <w:link w:val="af8"/>
    <w:rPr>
      <w:rFonts w:ascii="Tahoma" w:hAnsi="Tahoma"/>
      <w:sz w:val="16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basedOn w:val="a"/>
    <w:next w:val="a9"/>
    <w:link w:val="afc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c">
    <w:name w:val="Заголовок Знак"/>
    <w:basedOn w:val="1"/>
    <w:link w:val="afb"/>
    <w:rPr>
      <w:rFonts w:ascii="PT Astra Serif" w:hAnsi="PT Astra Serif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6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"/>
    <w:link w:val="a6"/>
    <w:rPr>
      <w:rFonts w:ascii="Calibri" w:hAnsi="Calibri"/>
      <w:sz w:val="22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d">
    <w:name w:val="caption"/>
    <w:basedOn w:val="a"/>
    <w:link w:val="af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e">
    <w:name w:val="Название объекта Знак"/>
    <w:basedOn w:val="1"/>
    <w:link w:val="afd"/>
    <w:rPr>
      <w:rFonts w:ascii="PT Astra Serif" w:hAnsi="PT Astra Serif"/>
      <w:i/>
      <w:sz w:val="24"/>
    </w:rPr>
  </w:style>
  <w:style w:type="paragraph" w:styleId="aff">
    <w:name w:val="Revision"/>
    <w:hidden/>
    <w:uiPriority w:val="99"/>
    <w:semiHidden/>
    <w:rsid w:val="00EA4364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?ysclid=mhordi6luk913962381" TargetMode="External"/><Relationship Id="rId13" Type="http://schemas.openxmlformats.org/officeDocument/2006/relationships/hyperlink" Target="mailto:uslugi-pay@23.kadastr.ru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kadastr.ru/services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70088/41bf2de596a5b4a6e1889c5c291c0842b3eb71a8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kadastr.ru/about/documents/?PAGEN_1=2&amp;SIZEN_1=1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70088/41bf2de596a5b4a6e1889c5c291c0842b3eb71a8/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Скорнякова Виктория Алексеевна</cp:lastModifiedBy>
  <cp:revision>2</cp:revision>
  <dcterms:created xsi:type="dcterms:W3CDTF">2025-11-21T09:29:00Z</dcterms:created>
  <dcterms:modified xsi:type="dcterms:W3CDTF">2025-11-21T09:31:00Z</dcterms:modified>
</cp:coreProperties>
</file>