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 xml:space="preserve">Попов Григорий Тимофеевич 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1918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1938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Младший сержант, командир отделения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Щначится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2024-01-14T19:48:29Z</dcterms:modified>
</cp:coreProperties>
</file>