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Гринев Денис Федорович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1900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Июнь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4"/>
    <w:next w:val="Style_1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1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1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1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2024-01-14T11:57:24Z</dcterms:modified>
</cp:coreProperties>
</file>