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Стаценко Василий Гордеевич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января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2024-01-14T21:24:14Z</dcterms:modified>
</cp:coreProperties>
</file>