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Кузнецов Владимир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Армянский РВК Краснодарского края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рядовой, стрелок 2 го штрафного батальона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от ран 31 июля 1943 года в ХППГ 79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станице Шапсугской Абинского района Краснодарского края, на братском кладбище , могила 1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2024-01-14T15:03:58Z</dcterms:modified>
</cp:coreProperties>
</file>