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Кравченко Александр Петрович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Гвардии рядовой 2-й Гвардейской стрелковой дивизии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15 апреля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восточнее МТФ Крымского района Краснодарского края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2024-01-14T14:48:47Z</dcterms:modified>
</cp:coreProperties>
</file>